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450</w:t>
      </w:r>
    </w:p>
    <w:p>
      <w:r>
        <w:t>Bundesgericht (BGE), 1967-10-11, DE</w:t>
      </w:r>
    </w:p>
    <w:p>
      <w:r>
        <w:rPr>
          <w:b/>
        </w:rPr>
        <w:t xml:space="preserve">Quelle: </w:t>
      </w:r>
      <w:r>
        <w:t>https://mcp.opencaselaw.ch/entscheid/bge_93 I 450</w:t>
      </w:r>
    </w:p>
    <w:p>
      <w:r>
        <w:t>FR: ATF 93 I 450</w:t>
      </w:r>
    </w:p>
    <w:p>
      <w:r>
        <w:t>IT: DTF 93 I 450</w:t>
      </w:r>
    </w:p>
    <w:p>
      <w:pPr>
        <w:pStyle w:val="Heading2"/>
      </w:pPr>
      <w:r>
        <w:t>Regeste</w:t>
      </w:r>
    </w:p>
    <w:p>
      <w:r>
        <w:t>Regeste Art. 86 und 87 OG; Erschöpfung des kantonalen Instanzenzugs, Zwischenentscheid. Der Entscheid der Steuerrekursbehörde, der die Kapitalgewinnsteuer aufeinen bestimmten Betrag herabsetzt, die Berechnung des geschuldeten Steuerbetrages aber der Steuerbehörde überlässt, ist ein Zwischenentscheid, der keinen nicht wiedergutzumachenden Nachteilzur Folge hat. Will der Beschwerdeführer die Veranlagung nur mit Bezug auf die von der Rekurskommission bereits festgestellten Steuerfaktoren anfechten, so braucht er die kantonalen Rechtsmittel nicht noch einmal zu erschöpfen. (Bestätigung der Rechtsprechung).</w:t>
      </w:r>
    </w:p>
    <w:p>
      <w:pPr>
        <w:pStyle w:val="Heading2"/>
      </w:pPr>
      <w:r>
        <w:t>Erwägungen</w:t>
      </w:r>
    </w:p>
    <w:p>
      <w:r>
        <w:rPr>
          <w:b/>
        </w:rPr>
        <w:t>E. 1</w:t>
      </w:r>
    </w:p>
    <w:p>
      <w:r>
        <w:t>Staatsrechtliche Beschwerden wegen Verletzung von Art. 4 BV sind erst gegen letztinstanzliche Endentscheide zulässig, gegen letztinstanzliche Zwischenentscheide nur, wenn sie für den Betroffenen einen nicht wiedergutzumachenden Nachteil zur Folge haben ( Art. 87 OG ). Während die ursprüngliche Veranlagung vom 10. August 1962 ausser der Festsetzung des steuerbaren Kapitalgewinnes auf Fr. 44'000.-- auch die Berechnung der geschuldeten Steuer enthielt, beschränkt sich der Einspracheentscheid vom 18. Juni 1964 darauf, den steuerbaren Kapitalgewinn auf Fr. 28'600.-- herabzusetzen, ohne die dafür geschuldete Steuer zu berechnen. Die StRK hat sich im angefochtenen Entscheid vom 24. Oktober 1966 ebenfalls darauf beschränkt, die Frage zu überprüfen, ob und einen wie hohen Kapitalgewinn der Beschwerdeführer aus dem Verkauf der Aktien erzielt habe, ohne die geschuldete Steuer festzusetzen. Der angefochtene Entscheid schliesst mithin BGE 93 I 450 S. 453 das Steuerveranlagungsverfahren nicht ab; die Veranlagungsbehörde wird vielmehr auf Grund des von der Rechtsmittelinstanz bestätigten Kapitalgewinnes die geschuldete Steuer nach Massgabe der oben unter lit. A erwähnten gesetzlichen Vorschriften noch zu berechnen haben. Diese Berechnung ist keine blosse Vollzugshandlung mit Bezug auf den angefochtenen Entscheid, denn dieser setzt bloss den steuerbaren Kapitalgewinn fest, auf Grund dessen die Steuerberechnung erst noch vorzunehmen ist (nicht veröffentlichte Urteile vom 5. Mai 1965 i.S. Genossenschaft Hotel zur Post in Liq. S. 3/4 und vom 9. Juni 1966 i.S. Rickli S. 3/4). Im Rahmen des Steuerveranlagungsverfahrens stellt der angefochtene letztinstanzliche Entscheid der StRK mithin keinen Endentscheid, sondern lediglich einen Zwischenentscheid dar, gegen den nach Art. 87 OG die staatsrechtliche Beschwerde wegen Verletzung von Art. 4 BV nur dann zulässig ist, wenn er für den Beschwerdeführer einen nicht wiedergutzumachenden Nachteil zur Folge hat.</w:t>
      </w:r>
    </w:p>
    <w:p>
      <w:r>
        <w:rPr>
          <w:b/>
        </w:rPr>
        <w:t>E. 2</w:t>
      </w:r>
    </w:p>
    <w:p>
      <w:r>
        <w:t>Diese Voraussetzung trifft indes nicht zu. Der Beschwerdeführer kann den Entscheid der StRK noch im Anschluss an die Festsetzung der geschuldeten Steuer mit staatsrechtlicher Beschwerde wegen Verletzung von Art. 4 BV anfechten. Die dadurch bewirkte Verlängerung des Verfahrens stellt nach ständiger Rechtsprechung keinen nicht wiedergutzumachenden Nachteil im Sinne von Art. 87 OG dar ( BGE 87 I 372 Erw. 2 mit Verweisungen; BGE 89 I 362 ). Es liesse sich einwenden, das Nichteintreten auf eine derartige Willkürbeschwerde führe zu einem formalistischen Leerlauf, weil der Beschwerdeführer vor erneuter Anrufung des Bundesgerichts abermals an die kantonale Rechtsmittelinstanz gelangen müsse, obschon diese über die gleiche Frage bereits befunden habe. Der Einwand wäre indessen unbegründet. Nach der Rechtsprechung wird vom Erfordernis der Erschöpfung des kantonalen Instanzenzuges abgesehen, wenn die angefochtene Verfügung auf einem Entscheid der kantonalen Rechtsmittelinstanz beruht und von dieser dergestalt zum voraus gebilligt worden ist, so dass sich die Ergreifung eines weiteren kantonalen Rechtsmittels als zwecklos und als leere Formalität erweisen würde ( BGE 86 I 39 mit Verweisungen, BGE 89 I 362 /3). Wenn daher der Beschwerdeführer die Veranlagung der geschuldeten Steuer nur mit Bezug auf die von der StRK bereits festgestellten Steuerfaktoren anfechten will, so braucht er die BGE 93 I 450 S. 454 kantonalen Rechtsmittel nicht noch einmal zu erschöpfen, sondern kann unmittelbar staatsrechtliche Beschwerde erheben ( BGE 86 I 39 /40, BGE 89 I 362 /3). Will er dagegen auch oder nur die auf Grund des Entscheides der StRK vorgenommene Steuerberechnung anfechten, dann muss er insoweit ohnehin zuerst den kantonalen Instanzenzug durchlaufen, bevor er staatsrechtliche Beschwerde erheben kann. Vom Standpunkt der Prozessökonomie aus hat diese Rechtsprechung den Vorteil, dass alle Beanstandungen des Beschwerdeführers mit Bezug auf die kantonale Steuerveranlagung dem Bundesgericht mit einer einzigen statt mit zwei getrennten staatsrechtlichen Beschwerden unterbreitet werden können. Diese Auffassung entspricht einer gefestigten Rechtsprechung des Bundesgerichts bei staatsrechtlichen Beschwerden wegen Verletzung von Art. 4 BV in Steuersachen ( BGE 89 I 362 /3; nicht publizierte Entscheide vom 5. Mai 1965 i.S. Genossenschaft Hotel zur Post in Liq., 9. Juni 1966 i.S. Rickli und 20. Juni 1967 i.S. Nowo-Immobilien AG). Aus den oben genannten Gründen besteht kein Anlass, von dieser Rechtsprechung abzuweichen, zumal sie vom Beschwerdeführer, der von Beruf Rechtsanwalt ist, mit keinem Wort in Zweifel gezogen wird. Auf die Beschwerde ist daher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